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widowControl w:val="false"/>
        <w:suppressAutoHyphens w:val="true"/>
        <w:bidi w:val="0"/>
        <w:spacing w:lineRule="auto" w:line="480" w:before="0" w:after="0"/>
        <w:ind w:left="0" w:right="0" w:hanging="0"/>
        <w:jc w:val="center"/>
        <w:rPr/>
      </w:pPr>
      <w:r>
        <w:rPr>
          <w:rStyle w:val="Figurereferenceto"/>
          <w:rFonts w:eastAsia="Arial" w:cs="Arial" w:ascii="Times New Roman" w:hAnsi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4"/>
          <w:szCs w:val="24"/>
          <w:u w:val="none"/>
          <w:lang w:val="en-GB" w:eastAsia="en-US" w:bidi="ar-SA"/>
        </w:rPr>
        <w:t>Supplemental Information</w:t>
      </w:r>
    </w:p>
    <w:p>
      <w:pPr>
        <w:pStyle w:val="TextBody"/>
        <w:widowControl w:val="false"/>
        <w:suppressAutoHyphens w:val="true"/>
        <w:bidi w:val="0"/>
        <w:spacing w:lineRule="auto" w:line="480" w:before="0" w:after="0"/>
        <w:ind w:left="0" w:right="0" w:hanging="0"/>
        <w:jc w:val="center"/>
        <w:rPr>
          <w:rStyle w:val="Figurereferenceto"/>
          <w:rFonts w:ascii="Arial" w:hAnsi="Arial" w:eastAsia="Arial" w:cs="Arial"/>
          <w:b/>
          <w:b/>
          <w:bCs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spacing w:val="0"/>
          <w:kern w:val="2"/>
          <w:sz w:val="22"/>
          <w:szCs w:val="22"/>
          <w:u w:val="none"/>
          <w:lang w:val="en-GB" w:eastAsia="en-US" w:bidi="ar-SA"/>
        </w:rPr>
      </w:pPr>
      <w:r>
        <w:rPr>
          <w:rFonts w:eastAsia="Arial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spacing w:val="0"/>
          <w:kern w:val="2"/>
          <w:sz w:val="22"/>
          <w:szCs w:val="22"/>
          <w:u w:val="none"/>
          <w:lang w:val="en-GB" w:eastAsia="en-US" w:bidi="ar-SA"/>
        </w:rPr>
      </w:r>
    </w:p>
    <w:p>
      <w:pPr>
        <w:pStyle w:val="Normal"/>
        <w:bidi w:val="0"/>
        <w:jc w:val="center"/>
        <w:rPr>
          <w:rFonts w:ascii="Times New Roman" w:hAnsi="Times New Roman"/>
        </w:rPr>
      </w:pPr>
      <w:r>
        <w:rPr>
          <w:rFonts w:eastAsia="Arial" w:cs="Arial" w:ascii="Times New Roman" w:hAnsi="Times New Roman"/>
          <w:b/>
          <w:bCs/>
          <w:sz w:val="24"/>
          <w:szCs w:val="24"/>
        </w:rPr>
        <w:t xml:space="preserve">An augmented transformer model </w:t>
      </w:r>
      <w:r>
        <w:rPr>
          <w:rFonts w:eastAsia="Arial" w:cs="Arial" w:ascii="Times New Roman" w:hAnsi="Times New Roman"/>
          <w:b/>
          <w:bCs/>
          <w:color w:val="auto"/>
          <w:kern w:val="2"/>
          <w:sz w:val="24"/>
          <w:szCs w:val="24"/>
          <w:lang w:val="en-US" w:eastAsia="en-US" w:bidi="ar-SA"/>
        </w:rPr>
        <w:t>trained on</w:t>
      </w:r>
      <w:r>
        <w:rPr>
          <w:rFonts w:eastAsia="Arial" w:cs="Arial" w:ascii="Times New Roman" w:hAnsi="Times New Roman"/>
          <w:b/>
          <w:bCs/>
          <w:sz w:val="24"/>
          <w:szCs w:val="24"/>
        </w:rPr>
        <w:t xml:space="preserve"> </w:t>
      </w:r>
      <w:r>
        <w:rPr>
          <w:rFonts w:eastAsia="Arial" w:cs="Arial" w:ascii="Times New Roman" w:hAnsi="Times New Roman"/>
          <w:b/>
          <w:bCs/>
          <w:color w:val="auto"/>
          <w:kern w:val="2"/>
          <w:sz w:val="24"/>
          <w:szCs w:val="24"/>
          <w:lang w:val="en-US" w:eastAsia="en-US" w:bidi="ar-SA"/>
        </w:rPr>
        <w:t>family specific variant data</w:t>
      </w:r>
      <w:r>
        <w:rPr>
          <w:rFonts w:eastAsia="Arial" w:cs="Arial" w:ascii="Times New Roman" w:hAnsi="Times New Roman"/>
          <w:b/>
          <w:bCs/>
          <w:sz w:val="24"/>
          <w:szCs w:val="24"/>
        </w:rPr>
        <w:t xml:space="preserve"> leads to improved prediction of variants of uncertain significance </w:t>
      </w:r>
    </w:p>
    <w:p>
      <w:pPr>
        <w:pStyle w:val="Normal"/>
        <w:bidi w:val="0"/>
        <w:jc w:val="center"/>
        <w:rPr>
          <w:rFonts w:ascii="Times New Roman" w:hAnsi="Times New Roman"/>
        </w:rPr>
      </w:pPr>
      <w:r>
        <w:rPr/>
      </w:r>
    </w:p>
    <w:p>
      <w:pPr>
        <w:pStyle w:val="Normal"/>
        <w:bidi w:val="0"/>
        <w:jc w:val="center"/>
        <w:rPr>
          <w:i/>
          <w:i/>
          <w:iCs/>
        </w:rPr>
      </w:pPr>
      <w:r>
        <w:rPr>
          <w:rFonts w:eastAsia="Arial" w:cs="Arial" w:ascii="Times New Roman" w:hAnsi="Times New Roman"/>
          <w:b/>
          <w:bCs/>
          <w:i/>
          <w:iCs/>
          <w:sz w:val="24"/>
          <w:szCs w:val="24"/>
        </w:rPr>
        <w:t>Human Genetics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keepLines w:val="false"/>
        <w:suppressAutoHyphens w:val="true"/>
        <w:bidi w:val="0"/>
        <w:spacing w:lineRule="auto" w:line="480" w:before="0" w:after="0"/>
        <w:jc w:val="center"/>
        <w:rPr/>
      </w:pPr>
      <w:r>
        <w:rPr>
          <w:rStyle w:val="MemberType"/>
          <w:rFonts w:eastAsia="Arial" w:cs="Arial" w:ascii="Times New Roman" w:hAnsi="Times New Roman"/>
          <w:i w:val="false"/>
          <w:iCs w:val="false"/>
          <w:sz w:val="20"/>
          <w:szCs w:val="20"/>
        </w:rPr>
        <w:t>Dinesh Joshi</w:t>
      </w:r>
      <w:r>
        <w:rPr>
          <w:rStyle w:val="MemberType"/>
          <w:rFonts w:eastAsia="Arial" w:cs="Arial" w:ascii="Times New Roman" w:hAnsi="Times New Roman"/>
          <w:i w:val="false"/>
          <w:iCs w:val="false"/>
          <w:sz w:val="20"/>
          <w:szCs w:val="20"/>
          <w:vertAlign w:val="superscript"/>
        </w:rPr>
        <w:t>†</w:t>
      </w:r>
      <w:r>
        <w:rPr>
          <w:rStyle w:val="MemberType"/>
          <w:rFonts w:eastAsia="Arial" w:cs="Arial" w:ascii="Times New Roman" w:hAnsi="Times New Roman"/>
          <w:i w:val="false"/>
          <w:iCs w:val="false"/>
          <w:sz w:val="20"/>
          <w:szCs w:val="20"/>
        </w:rPr>
        <w:t>, Swatantra Pradhan</w:t>
      </w:r>
      <w:r>
        <w:rPr>
          <w:rStyle w:val="MemberType"/>
          <w:rFonts w:eastAsia="Arial" w:cs="Arial" w:ascii="Times New Roman" w:hAnsi="Times New Roman"/>
          <w:i w:val="false"/>
          <w:iCs w:val="false"/>
          <w:sz w:val="20"/>
          <w:szCs w:val="20"/>
          <w:vertAlign w:val="superscript"/>
        </w:rPr>
        <w:t>†</w:t>
      </w:r>
      <w:r>
        <w:rPr>
          <w:rStyle w:val="MemberType"/>
          <w:rFonts w:eastAsia="Arial" w:cs="Arial" w:ascii="Times New Roman" w:hAnsi="Times New Roman"/>
          <w:i w:val="false"/>
          <w:iCs w:val="false"/>
          <w:sz w:val="20"/>
          <w:szCs w:val="20"/>
        </w:rPr>
        <w:t>, Rakshanda Sajeed, Rajgopal Srinivasan and Sadhna Rana</w:t>
      </w:r>
      <w:r>
        <w:rPr>
          <w:rStyle w:val="MemberType"/>
          <w:rFonts w:eastAsia="Arial" w:cs="Arial" w:ascii="Times New Roman" w:hAnsi="Times New Roman"/>
          <w:i w:val="false"/>
          <w:iCs w:val="false"/>
          <w:sz w:val="20"/>
          <w:szCs w:val="20"/>
          <w:vertAlign w:val="superscript"/>
        </w:rPr>
        <w:t>*</w:t>
      </w:r>
    </w:p>
    <w:p>
      <w:pPr>
        <w:pStyle w:val="Normal"/>
        <w:keepLines w:val="false"/>
        <w:suppressAutoHyphens w:val="true"/>
        <w:bidi w:val="0"/>
        <w:spacing w:lineRule="auto" w:line="480" w:before="0" w:after="0"/>
        <w:jc w:val="center"/>
        <w:rPr/>
      </w:pPr>
      <w:r>
        <w:rPr>
          <w:rStyle w:val="MemberType"/>
          <w:rFonts w:eastAsia="Arial" w:cs="Arial" w:ascii="Times New Roman" w:hAnsi="Times New Roman"/>
          <w:i w:val="false"/>
          <w:iCs w:val="false"/>
          <w:sz w:val="16"/>
          <w:szCs w:val="16"/>
        </w:rPr>
        <w:t xml:space="preserve">TCS Research, Tata Consultancy Services, </w:t>
      </w:r>
      <w:r>
        <w:rPr>
          <w:rStyle w:val="MemberType"/>
          <w:rFonts w:eastAsia="Arial" w:cs="Arial" w:ascii="Times New Roman" w:hAnsi="Times New Roman"/>
          <w:i w:val="false"/>
          <w:iCs w:val="false"/>
          <w:sz w:val="16"/>
          <w:szCs w:val="16"/>
        </w:rPr>
        <w:t>India</w:t>
      </w:r>
    </w:p>
    <w:p>
      <w:pPr>
        <w:pStyle w:val="Normal"/>
        <w:keepLines w:val="false"/>
        <w:suppressAutoHyphens w:val="true"/>
        <w:bidi w:val="0"/>
        <w:spacing w:lineRule="auto" w:line="480" w:before="0" w:after="0"/>
        <w:jc w:val="center"/>
        <w:rPr/>
      </w:pPr>
      <w:r>
        <w:rPr>
          <w:rStyle w:val="MemberType"/>
          <w:rFonts w:eastAsia="Arial" w:cs="Arial" w:ascii="Times New Roman" w:hAnsi="Times New Roman"/>
          <w:i w:val="false"/>
          <w:iCs w:val="false"/>
          <w:sz w:val="16"/>
          <w:szCs w:val="16"/>
          <w:vertAlign w:val="superscript"/>
        </w:rPr>
        <w:t xml:space="preserve">† </w:t>
      </w:r>
      <w:r>
        <w:rPr>
          <w:rStyle w:val="MemberType"/>
          <w:rFonts w:eastAsia="Arial" w:cs="Arial" w:ascii="Times New Roman" w:hAnsi="Times New Roman"/>
          <w:i w:val="false"/>
          <w:iCs w:val="false"/>
          <w:sz w:val="16"/>
          <w:szCs w:val="16"/>
        </w:rPr>
        <w:t>Contributed equally</w:t>
      </w:r>
    </w:p>
    <w:p>
      <w:pPr>
        <w:pStyle w:val="Normal"/>
        <w:suppressAutoHyphens w:val="true"/>
        <w:bidi w:val="0"/>
        <w:spacing w:lineRule="auto" w:line="480" w:before="0" w:after="0"/>
        <w:jc w:val="center"/>
        <w:rPr/>
      </w:pPr>
      <w:r>
        <w:rPr>
          <w:rStyle w:val="MemberType"/>
          <w:rFonts w:eastAsia="Arial" w:cs="Arial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16"/>
          <w:szCs w:val="16"/>
          <w:u w:val="none"/>
          <w:vertAlign w:val="superscript"/>
          <w:lang w:val="en-GB" w:eastAsia="zh-CN" w:bidi="hi-IN"/>
        </w:rPr>
        <w:t>*</w:t>
      </w:r>
      <w:r>
        <w:rPr>
          <w:rStyle w:val="MemberType"/>
          <w:rFonts w:eastAsia="Arial" w:cs="Arial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2"/>
          <w:sz w:val="16"/>
          <w:szCs w:val="16"/>
          <w:u w:val="none"/>
          <w:vertAlign w:val="baseline"/>
          <w:lang w:val="en-GB" w:eastAsia="zh-CN" w:bidi="hi-IN"/>
        </w:rPr>
        <w:t xml:space="preserve">Corresponding author: </w:t>
      </w:r>
      <w:r>
        <w:rPr>
          <w:rStyle w:val="InternetLink"/>
          <w:rFonts w:eastAsia="Arial" w:cs="Arial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kern w:val="2"/>
          <w:position w:val="0"/>
          <w:sz w:val="16"/>
          <w:sz w:val="16"/>
          <w:szCs w:val="16"/>
          <w:vertAlign w:val="baseline"/>
        </w:rPr>
        <w:t>sadhna.rana@tcs.com</w:t>
      </w:r>
    </w:p>
    <w:p>
      <w:pPr>
        <w:pStyle w:val="TextBody"/>
        <w:bidi w:val="0"/>
        <w:jc w:val="left"/>
        <w:rPr>
          <w:rStyle w:val="MemberType"/>
          <w:rFonts w:ascii="arial" w:hAnsi="arial" w:eastAsia="Noto Serif CJK SC" w:cs="Lohit Devanagari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0"/>
          <w:sz w:val="20"/>
          <w:szCs w:val="20"/>
          <w:u w:val="none"/>
          <w:vertAlign w:val="baseline"/>
          <w:lang w:val="en-GB" w:eastAsia="zh-CN" w:bidi="hi-IN"/>
        </w:rPr>
      </w:pPr>
      <w:r>
        <w:rPr>
          <w:rFonts w:eastAsia="Noto Serif CJK SC" w:cs="Lohit Devanagari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0"/>
          <w:sz w:val="20"/>
          <w:szCs w:val="20"/>
          <w:u w:val="none"/>
          <w:vertAlign w:val="baseline"/>
          <w:lang w:val="en-GB" w:eastAsia="zh-CN" w:bidi="hi-IN"/>
        </w:rPr>
      </w:r>
    </w:p>
    <w:p>
      <w:pPr>
        <w:pStyle w:val="TextBody"/>
        <w:bidi w:val="0"/>
        <w:jc w:val="left"/>
        <w:rPr/>
      </w:pPr>
      <w:r>
        <w:rPr>
          <w:rStyle w:val="MemberType"/>
          <w:rFonts w:eastAsia="Noto Serif CJK SC" w:cs="Lohit Devanagari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2"/>
          <w:sz w:val="20"/>
          <w:szCs w:val="20"/>
          <w:u w:val="none"/>
          <w:vertAlign w:val="baseline"/>
          <w:lang w:val="en-GB" w:eastAsia="zh-CN" w:bidi="hi-IN"/>
        </w:rPr>
        <w:t xml:space="preserve">  </w:t>
      </w:r>
      <w:r>
        <w:rPr>
          <w:rStyle w:val="MemberType"/>
          <w:rFonts w:eastAsia="Noto Serif CJK SC" w:cs="Lohit Devanagari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2"/>
          <w:sz w:val="20"/>
          <w:szCs w:val="20"/>
          <w:u w:val="none"/>
          <w:vertAlign w:val="baseline"/>
          <w:lang w:val="en-GB" w:eastAsia="zh-CN" w:bidi="hi-IN"/>
        </w:rPr>
        <w:t xml:space="preserve">Table S1: </w:t>
      </w:r>
      <w:r>
        <w:rPr>
          <w:rStyle w:val="Figurereferenceto"/>
          <w:rFonts w:eastAsia="Arial" w:cs="Arial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0"/>
          <w:sz w:val="20"/>
          <w:szCs w:val="20"/>
          <w:u w:val="none"/>
          <w:vertAlign w:val="baseline"/>
          <w:lang w:val="en-GB" w:eastAsia="zh-CN" w:bidi="hi-IN"/>
        </w:rPr>
        <w:t>Zero-shot predictions from ESM-2-Evotuned models on VUS data</w:t>
      </w:r>
    </w:p>
    <w:tbl>
      <w:tblPr>
        <w:tblW w:w="9493" w:type="dxa"/>
        <w:jc w:val="left"/>
        <w:tblInd w:w="228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636"/>
        <w:gridCol w:w="1278"/>
        <w:gridCol w:w="1242"/>
        <w:gridCol w:w="1362"/>
        <w:gridCol w:w="1307"/>
        <w:gridCol w:w="1479"/>
        <w:gridCol w:w="1188"/>
      </w:tblGrid>
      <w:tr>
        <w:trPr/>
        <w:tc>
          <w:tcPr>
            <w:tcW w:w="1636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Models</w:t>
            </w:r>
          </w:p>
        </w:tc>
        <w:tc>
          <w:tcPr>
            <w:tcW w:w="127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Balanced accuracy</w:t>
            </w:r>
          </w:p>
        </w:tc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Precision</w:t>
            </w:r>
          </w:p>
        </w:tc>
        <w:tc>
          <w:tcPr>
            <w:tcW w:w="136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Recall</w:t>
            </w:r>
          </w:p>
        </w:tc>
        <w:tc>
          <w:tcPr>
            <w:tcW w:w="130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eastAsia="Noto Serif CJK SC" w:cs="Lohit Devanagari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8"/>
                <w:szCs w:val="18"/>
                <w:u w:val="none"/>
                <w:lang w:val="en-IN" w:eastAsia="zh-CN" w:bidi="hi-IN"/>
              </w:rPr>
              <w:t>AUROC</w:t>
            </w:r>
          </w:p>
        </w:tc>
        <w:tc>
          <w:tcPr>
            <w:tcW w:w="147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Average Precision</w:t>
            </w:r>
          </w:p>
        </w:tc>
        <w:tc>
          <w:tcPr>
            <w:tcW w:w="118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TNR</w:t>
            </w:r>
          </w:p>
        </w:tc>
      </w:tr>
      <w:tr>
        <w:trPr/>
        <w:tc>
          <w:tcPr>
            <w:tcW w:w="1636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ESM-2-Evotuned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vertAlign w:val="superscript"/>
              </w:rPr>
              <w:t>a</w:t>
            </w:r>
          </w:p>
        </w:tc>
        <w:tc>
          <w:tcPr>
            <w:tcW w:w="1278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0.56</w:t>
            </w:r>
          </w:p>
        </w:tc>
        <w:tc>
          <w:tcPr>
            <w:tcW w:w="1242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0.26</w:t>
            </w:r>
          </w:p>
        </w:tc>
        <w:tc>
          <w:tcPr>
            <w:tcW w:w="1362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</w:t>
            </w:r>
          </w:p>
        </w:tc>
        <w:tc>
          <w:tcPr>
            <w:tcW w:w="1307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0.87</w:t>
            </w:r>
          </w:p>
        </w:tc>
        <w:tc>
          <w:tcPr>
            <w:tcW w:w="1479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0.7</w:t>
            </w:r>
          </w:p>
        </w:tc>
        <w:tc>
          <w:tcPr>
            <w:tcW w:w="1188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</w:tr>
      <w:tr>
        <w:trPr/>
        <w:tc>
          <w:tcPr>
            <w:tcW w:w="1636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ESM-2-Evotuned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vertAlign w:val="superscript"/>
              </w:rPr>
              <w:t>b</w:t>
            </w:r>
          </w:p>
        </w:tc>
        <w:tc>
          <w:tcPr>
            <w:tcW w:w="1278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1242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1362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0.63</w:t>
            </w:r>
          </w:p>
        </w:tc>
        <w:tc>
          <w:tcPr>
            <w:tcW w:w="1307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1479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1188" w:type="dxa"/>
            <w:tcBorders/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0.37</w:t>
            </w:r>
          </w:p>
        </w:tc>
      </w:tr>
      <w:tr>
        <w:trPr/>
        <w:tc>
          <w:tcPr>
            <w:tcW w:w="1636" w:type="dxa"/>
            <w:tcBorders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ESM-2-Evotuned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vertAlign w:val="superscript"/>
              </w:rPr>
              <w:t>c</w:t>
            </w:r>
          </w:p>
        </w:tc>
        <w:tc>
          <w:tcPr>
            <w:tcW w:w="1278" w:type="dxa"/>
            <w:tcBorders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0.49</w:t>
            </w:r>
          </w:p>
        </w:tc>
        <w:tc>
          <w:tcPr>
            <w:tcW w:w="1242" w:type="dxa"/>
            <w:tcBorders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</w:tc>
        <w:tc>
          <w:tcPr>
            <w:tcW w:w="1362" w:type="dxa"/>
            <w:tcBorders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0.66</w:t>
            </w:r>
          </w:p>
        </w:tc>
        <w:tc>
          <w:tcPr>
            <w:tcW w:w="1307" w:type="dxa"/>
            <w:tcBorders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</w:tc>
        <w:tc>
          <w:tcPr>
            <w:tcW w:w="1479" w:type="dxa"/>
            <w:tcBorders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188" w:type="dxa"/>
            <w:tcBorders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</w:tc>
      </w:tr>
    </w:tbl>
    <w:p>
      <w:pPr>
        <w:pStyle w:val="TextBody"/>
        <w:widowControl/>
        <w:suppressAutoHyphens w:val="true"/>
        <w:overflowPunct w:val="true"/>
        <w:bidi w:val="0"/>
        <w:spacing w:lineRule="auto" w:line="240" w:before="0" w:after="140"/>
        <w:ind w:left="170" w:right="0" w:hanging="0"/>
        <w:jc w:val="both"/>
        <w:rPr/>
      </w:pPr>
      <w:r>
        <w:rPr>
          <w:rStyle w:val="Figurereferenceto"/>
          <w:rFonts w:ascii="Times New Roman" w:hAnsi="Times New Roman"/>
          <w:color w:val="000000"/>
          <w:sz w:val="20"/>
          <w:szCs w:val="20"/>
          <w:lang w:val="en-GB" w:eastAsia="en-US" w:bidi="ar-SA"/>
        </w:rPr>
        <w:t xml:space="preserve">ESM-2-Evotuned model is ESM-2 model fine-tuned using homologous sequences of NAGLU. </w:t>
      </w:r>
      <w:r>
        <w:rPr>
          <w:rFonts w:ascii="Times New Roman" w:hAnsi="Times New Roman"/>
          <w:sz w:val="20"/>
          <w:szCs w:val="20"/>
          <w:vertAlign w:val="superscript"/>
        </w:rPr>
        <w:t>a</w:t>
      </w:r>
      <w:r>
        <w:rPr>
          <w:rFonts w:ascii="Times New Roman" w:hAnsi="Times New Roman"/>
          <w:sz w:val="20"/>
          <w:szCs w:val="20"/>
        </w:rPr>
        <w:t xml:space="preserve">ESM-2-Evotuned model trained with hyperparameters as AdamW optimizer, learning rate as 1e-5, batch size as 2 and number of epochs as 2. </w:t>
      </w:r>
      <w:r>
        <w:rPr>
          <w:rFonts w:ascii="Times New Roman" w:hAnsi="Times New Roman"/>
          <w:sz w:val="20"/>
          <w:szCs w:val="20"/>
          <w:vertAlign w:val="superscript"/>
        </w:rPr>
        <w:t>b</w:t>
      </w:r>
      <w:r>
        <w:rPr>
          <w:rFonts w:ascii="Times New Roman" w:hAnsi="Times New Roman"/>
          <w:sz w:val="20"/>
          <w:szCs w:val="20"/>
        </w:rPr>
        <w:t xml:space="preserve">ESM-2-Evotuned model trained with linear rate scheduler having hyperparameters as Adam optimizer with beta1 = 0.9 and beta2 = 0.98, L2 weight decay of 0.01 and the learning rate is warmed up over the first 2000 steps to a peak value of 4e-4 and then linearly decayed to one tenth of its peak value (4e-5) for rest of the training duration, and trained for 3 number of epochs with batch size 2. </w:t>
      </w:r>
      <w:r>
        <w:rPr>
          <w:rFonts w:ascii="Times New Roman" w:hAnsi="Times New Roman"/>
          <w:sz w:val="20"/>
          <w:szCs w:val="20"/>
          <w:vertAlign w:val="superscript"/>
        </w:rPr>
        <w:t>c</w:t>
      </w:r>
      <w:r>
        <w:rPr>
          <w:rFonts w:ascii="Times New Roman" w:hAnsi="Times New Roman"/>
          <w:sz w:val="20"/>
          <w:szCs w:val="20"/>
        </w:rPr>
        <w:t>ESM-2-Evotuned model trained with linear rate scheduler having hyperparameters as Adam optimizer with beta1= 0.9 and beta2 = 0.98, L2 weight decay of 0.01 and the learning rate is linearly decayed from a starting learning rate 4e-4 to ending learning rate 4e-5 and trained for 3 number of epochs with batch size 2.</w:t>
      </w:r>
    </w:p>
    <w:p>
      <w:pPr>
        <w:pStyle w:val="TextBody"/>
        <w:widowControl/>
        <w:suppressAutoHyphens w:val="true"/>
        <w:overflowPunct w:val="true"/>
        <w:bidi w:val="0"/>
        <w:spacing w:lineRule="auto" w:line="276" w:before="0" w:after="140"/>
        <w:ind w:left="170" w:right="0"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bidi w:val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>Table S2: Hyperparameters used for different models using residue level / sequence level (N/S) embedding</w:t>
      </w:r>
    </w:p>
    <w:tbl>
      <w:tblPr>
        <w:tblW w:w="9468" w:type="dxa"/>
        <w:jc w:val="left"/>
        <w:tblInd w:w="147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1014"/>
        <w:gridCol w:w="918"/>
        <w:gridCol w:w="951"/>
        <w:gridCol w:w="1317"/>
        <w:gridCol w:w="783"/>
        <w:gridCol w:w="1534"/>
        <w:gridCol w:w="1134"/>
        <w:gridCol w:w="849"/>
        <w:gridCol w:w="967"/>
      </w:tblGrid>
      <w:tr>
        <w:trPr>
          <w:tblHeader w:val="true"/>
        </w:trPr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lang w:val="en-GB" w:eastAsia="zh-CN" w:bidi="ar-SA"/>
              </w:rPr>
              <w:t>Training Dataset</w:t>
            </w:r>
          </w:p>
        </w:tc>
        <w:tc>
          <w:tcPr>
            <w:tcW w:w="91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Total data points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5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Model</w:t>
            </w:r>
          </w:p>
        </w:tc>
        <w:tc>
          <w:tcPr>
            <w:tcW w:w="131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Representation</w:t>
            </w:r>
          </w:p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(N/S)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vertAlign w:val="superscript"/>
              </w:rPr>
              <w:t>+</w:t>
            </w:r>
          </w:p>
        </w:tc>
        <w:tc>
          <w:tcPr>
            <w:tcW w:w="78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Model number</w:t>
            </w:r>
          </w:p>
        </w:tc>
        <w:tc>
          <w:tcPr>
            <w:tcW w:w="153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Number of Hidden  layers (HL)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Hidden layer size</w:t>
            </w:r>
          </w:p>
        </w:tc>
        <w:tc>
          <w:tcPr>
            <w:tcW w:w="84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Dropout rate</w:t>
            </w:r>
          </w:p>
        </w:tc>
        <w:tc>
          <w:tcPr>
            <w:tcW w:w="96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Input Features</w:t>
            </w:r>
          </w:p>
        </w:tc>
      </w:tr>
      <w:tr>
        <w:trPr/>
        <w:tc>
          <w:tcPr>
            <w:tcW w:w="1014" w:type="dxa"/>
            <w:vMerge w:val="restart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position w:val="0"/>
                <w:sz w:val="18"/>
                <w:sz w:val="18"/>
                <w:szCs w:val="18"/>
                <w:u w:val="none"/>
                <w:vertAlign w:val="baseline"/>
              </w:rPr>
              <w:t>Carbo-hydrate hydrolases</w:t>
            </w:r>
          </w:p>
        </w:tc>
        <w:tc>
          <w:tcPr>
            <w:tcW w:w="918" w:type="dxa"/>
            <w:vMerge w:val="restart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3276</w:t>
            </w:r>
          </w:p>
        </w:tc>
        <w:tc>
          <w:tcPr>
            <w:tcW w:w="951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Without PCA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vertAlign w:val="superscript"/>
              </w:rPr>
              <w:t>a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1317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N</w:t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250,100,10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>
          <w:trHeight w:val="279" w:hRule="atLeast"/>
        </w:trPr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5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S</w:t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250,100,10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500,250,100,10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restart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With PCA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vertAlign w:val="superscript"/>
              </w:rPr>
              <w:t>b</w:t>
            </w:r>
          </w:p>
        </w:tc>
        <w:tc>
          <w:tcPr>
            <w:tcW w:w="1317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N</w:t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3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120,60,10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482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240,120,60,10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240,120,60,10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483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3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120,60,10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482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482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restart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S</w:t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120,60,30,10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120,60,30,10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60,30,10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</w:tr>
      <w:tr>
        <w:trPr/>
        <w:tc>
          <w:tcPr>
            <w:tcW w:w="1014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34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60,30,10</w:t>
            </w:r>
          </w:p>
        </w:tc>
        <w:tc>
          <w:tcPr>
            <w:tcW w:w="849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</w:tr>
      <w:tr>
        <w:trPr/>
        <w:tc>
          <w:tcPr>
            <w:tcW w:w="1014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Hydrolases</w:t>
            </w:r>
          </w:p>
        </w:tc>
        <w:tc>
          <w:tcPr>
            <w:tcW w:w="918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3526</w:t>
            </w:r>
          </w:p>
        </w:tc>
        <w:tc>
          <w:tcPr>
            <w:tcW w:w="951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Without PCA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vertAlign w:val="superscript"/>
              </w:rPr>
              <w:t>a</w:t>
            </w:r>
          </w:p>
        </w:tc>
        <w:tc>
          <w:tcPr>
            <w:tcW w:w="1317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N</w:t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3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250,100,10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500,250,100,10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S</w:t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250,100,10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500,250,100,10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restart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With PCA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vertAlign w:val="superscript"/>
              </w:rPr>
              <w:t>b</w:t>
            </w:r>
          </w:p>
        </w:tc>
        <w:tc>
          <w:tcPr>
            <w:tcW w:w="1317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N</w:t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3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120,60,10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495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3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120,60,10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496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495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240,120,60,10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495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5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240,120,60,10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494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restart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S</w:t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60,30,10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</w:t>
            </w:r>
          </w:p>
        </w:tc>
      </w:tr>
      <w:tr>
        <w:trPr/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</w:tc>
      </w:tr>
      <w:tr>
        <w:trPr>
          <w:trHeight w:val="369" w:hRule="atLeast"/>
        </w:trPr>
        <w:tc>
          <w:tcPr>
            <w:tcW w:w="1014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34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120,60,30,10</w:t>
            </w:r>
          </w:p>
        </w:tc>
        <w:tc>
          <w:tcPr>
            <w:tcW w:w="849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Control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3340</w:t>
            </w:r>
          </w:p>
        </w:tc>
        <w:tc>
          <w:tcPr>
            <w:tcW w:w="951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Without PCA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317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</w:t>
            </w:r>
          </w:p>
        </w:tc>
        <w:tc>
          <w:tcPr>
            <w:tcW w:w="783" w:type="dxa"/>
            <w:tcBorders>
              <w:top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>
              <w:top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500,250,100,10</w:t>
            </w:r>
          </w:p>
        </w:tc>
        <w:tc>
          <w:tcPr>
            <w:tcW w:w="849" w:type="dxa"/>
            <w:tcBorders>
              <w:top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0.2</w:t>
            </w:r>
          </w:p>
        </w:tc>
        <w:tc>
          <w:tcPr>
            <w:tcW w:w="967" w:type="dxa"/>
            <w:tcBorders>
              <w:top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1281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>
          <w:trHeight w:val="395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500,250,100,10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1281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restart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With PCA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317" w:type="dxa"/>
            <w:vMerge w:val="restart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</w:t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240,120,60,10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488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3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120,60,10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490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240,120,60,10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488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3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120,60,10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0.2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488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240,120,60,10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0.5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</w:rPr>
              <w:t>488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restart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</w:t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120,60,30,10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</w:tc>
      </w:tr>
      <w:tr>
        <w:trPr>
          <w:trHeight w:val="18" w:hRule="atLeast"/>
        </w:trPr>
        <w:tc>
          <w:tcPr>
            <w:tcW w:w="1014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51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17" w:type="dxa"/>
            <w:vMerge w:val="continue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83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34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Contents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</w:t>
            </w:r>
          </w:p>
        </w:tc>
      </w:tr>
    </w:tbl>
    <w:p>
      <w:pPr>
        <w:pStyle w:val="TextBody"/>
        <w:widowControl/>
        <w:suppressAutoHyphens w:val="true"/>
        <w:overflowPunct w:val="true"/>
        <w:bidi w:val="0"/>
        <w:spacing w:lineRule="auto" w:line="240" w:before="0" w:after="140"/>
        <w:ind w:left="113" w:right="0" w:hanging="0"/>
        <w:jc w:val="both"/>
        <w:rPr/>
      </w:pPr>
      <w:r>
        <w:rPr>
          <w:rFonts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vertAlign w:val="superscript"/>
        </w:rPr>
        <w:t>+</w:t>
      </w:r>
      <w:r>
        <w:rPr>
          <w:rFonts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</w:rPr>
        <w:t>N/S denotes the residue level (node level) embedding and sequence level embedding respectively.</w:t>
      </w:r>
      <w:r>
        <w:rPr>
          <w:rFonts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vertAlign w:val="superscript"/>
          <w:lang w:val="en-GB"/>
        </w:rPr>
        <w:t xml:space="preserve"> *</w:t>
      </w:r>
      <w:r>
        <w:rPr>
          <w:rFonts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en-GB"/>
        </w:rPr>
        <w:t xml:space="preserve">denotes total data points split into train and validation datasets in 80:20 ratio for each model . </w:t>
      </w:r>
      <w:r>
        <w:rPr>
          <w:rFonts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vertAlign w:val="superscript"/>
        </w:rPr>
        <w:t>a</w:t>
      </w:r>
      <w:r>
        <w:rPr>
          <w:rFonts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en-GB"/>
        </w:rPr>
        <w:t>denotes the Input (ESM-2 embeddings concatenated with log-odds feature)</w:t>
      </w:r>
      <w:r>
        <w:rPr>
          <w:rStyle w:val="MemberType"/>
          <w:rFonts w:eastAsia="Noto Serif CJK SC" w:cs="Lohit Devanagari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2"/>
          <w:sz w:val="20"/>
          <w:szCs w:val="20"/>
          <w:u w:val="none"/>
          <w:vertAlign w:val="baseline"/>
          <w:lang w:val="en-GB" w:eastAsia="zh-CN" w:bidi="hi-IN"/>
        </w:rPr>
        <w:t xml:space="preserve"> . </w:t>
      </w:r>
      <w:r>
        <w:rPr>
          <w:rStyle w:val="MemberType"/>
          <w:rFonts w:eastAsia="Noto Serif CJK SC" w:cs="Lohit Devanagari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0"/>
          <w:szCs w:val="20"/>
          <w:u w:val="none"/>
          <w:vertAlign w:val="superscript"/>
          <w:lang w:val="en-GB" w:eastAsia="zh-CN" w:bidi="hi-IN"/>
        </w:rPr>
        <w:t>b</w:t>
      </w:r>
      <w:r>
        <w:rPr>
          <w:rStyle w:val="MemberType"/>
          <w:rFonts w:eastAsia="Noto Serif CJK SC" w:cs="Lohit Devanagari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2"/>
          <w:sz w:val="20"/>
          <w:szCs w:val="20"/>
          <w:u w:val="none"/>
          <w:vertAlign w:val="baseline"/>
          <w:lang w:val="en-GB" w:eastAsia="zh-CN" w:bidi="hi-IN"/>
        </w:rPr>
        <w:t xml:space="preserve">denotes the Input (ESM-2 embeddings </w:t>
      </w:r>
      <w:r>
        <w:rPr>
          <w:rStyle w:val="MemberType"/>
          <w:rFonts w:ascii="Times New Roman" w:hAnsi="Times New Roman"/>
          <w:i w:val="false"/>
          <w:iCs w:val="false"/>
          <w:sz w:val="20"/>
          <w:szCs w:val="20"/>
        </w:rPr>
        <w:t>obtained after doing PCA &amp; concatenating log-odds feature)</w:t>
      </w:r>
    </w:p>
    <w:p>
      <w:pPr>
        <w:pStyle w:val="Normal"/>
        <w:bidi w:val="0"/>
        <w:snapToGrid w:val="false"/>
        <w:jc w:val="left"/>
        <w:rPr>
          <w:rStyle w:val="MemberType"/>
          <w:rFonts w:eastAsia="Noto Serif CJK SC" w:cs="Lohit Devanagari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0"/>
          <w:sz w:val="20"/>
          <w:szCs w:val="20"/>
          <w:u w:val="none"/>
          <w:vertAlign w:val="baseline"/>
          <w:lang w:val="en-GB" w:eastAsia="zh-CN" w:bidi="hi-IN"/>
        </w:rPr>
      </w:pPr>
      <w:r>
        <w:rPr>
          <w:rFonts w:eastAsia="Noto Serif CJK SC" w:cs="Lohit Devanagar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0"/>
          <w:sz w:val="20"/>
          <w:szCs w:val="20"/>
          <w:u w:val="none"/>
          <w:vertAlign w:val="baseline"/>
          <w:lang w:val="en-GB" w:eastAsia="zh-CN" w:bidi="hi-IN"/>
        </w:rPr>
      </w:r>
    </w:p>
    <w:p>
      <w:pPr>
        <w:pStyle w:val="TextBody"/>
        <w:bidi w:val="0"/>
        <w:spacing w:lineRule="auto" w:line="276" w:before="0" w:after="140"/>
        <w:jc w:val="left"/>
        <w:rPr/>
      </w:pPr>
      <w:r>
        <w:rPr>
          <w:rStyle w:val="MemberType"/>
          <w:rFonts w:eastAsia="Noto Serif CJK SC" w:cs="Lohit Devanagar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2"/>
          <w:sz w:val="20"/>
          <w:szCs w:val="20"/>
          <w:u w:val="none"/>
          <w:vertAlign w:val="baseline"/>
          <w:lang w:val="en-GB" w:eastAsia="zh-CN" w:bidi="hi-IN"/>
        </w:rPr>
        <w:t xml:space="preserve">  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0"/>
        <w:szCs w:val="24"/>
        <w:lang w:val="en-I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en-IN" w:eastAsia="zh-CN" w:bidi="hi-IN"/>
    </w:rPr>
  </w:style>
  <w:style w:type="character" w:styleId="DefaultParagraphFont">
    <w:name w:val="Default Paragraph Font"/>
    <w:qFormat/>
    <w:rPr/>
  </w:style>
  <w:style w:type="character" w:styleId="MemberType">
    <w:name w:val="MemberType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Figurereferenceto">
    <w:name w:val="Figure (reference to)"/>
    <w:qFormat/>
    <w:rPr>
      <w:color w:val="FF0000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ableContents">
    <w:name w:val="Table Contents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LibreOffice/6.4.7.2$Linux_X86_64 LibreOffice_project/40$Build-2</Application>
  <Pages>3</Pages>
  <Words>665</Words>
  <Characters>2928</Characters>
  <CharactersWithSpaces>3229</CharactersWithSpaces>
  <Paragraphs>374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2023-11-30T12:27:11Z</dcterms:created>
  <dc:creator/>
  <dc:description/>
  <dc:language>en-IN</dc:language>
  <cp:lastModifiedBy/>
  <dcterms:modified xsi:type="dcterms:W3CDTF">2023-12-04T11:33:51Z</dcterms:modified>
  <cp:revision>8</cp:revision>
  <dc:subject/>
  <dc:title/>
</cp:coreProperties>
</file>